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D175" w14:textId="77777777" w:rsidR="00DA6C53" w:rsidRDefault="00DA6C53" w:rsidP="004564A6">
      <w:pPr>
        <w:ind w:left="-720" w:right="-720"/>
      </w:pPr>
    </w:p>
    <w:p w14:paraId="66C4D176" w14:textId="0162C029" w:rsidR="00BB3AC1" w:rsidRPr="00C80375" w:rsidRDefault="002E7CC4" w:rsidP="004564A6">
      <w:pPr>
        <w:ind w:left="-720" w:right="-720"/>
        <w:rPr>
          <w:rFonts w:ascii="Calibri" w:hAnsi="Calibri"/>
        </w:rPr>
      </w:pPr>
      <w:r>
        <w:rPr>
          <w:rFonts w:ascii="Calibri" w:hAnsi="Calibri"/>
        </w:rPr>
        <w:t>September 3</w:t>
      </w:r>
      <w:r w:rsidR="00DA6C53" w:rsidRPr="00C80375">
        <w:rPr>
          <w:rFonts w:ascii="Calibri" w:hAnsi="Calibri"/>
        </w:rPr>
        <w:t>, 201</w:t>
      </w:r>
      <w:r>
        <w:rPr>
          <w:rFonts w:ascii="Calibri" w:hAnsi="Calibri"/>
        </w:rPr>
        <w:t>5</w:t>
      </w:r>
    </w:p>
    <w:p w14:paraId="66C4D177" w14:textId="77777777" w:rsidR="0050492B" w:rsidRPr="00C80375" w:rsidRDefault="00BB3AC1" w:rsidP="004564A6">
      <w:pPr>
        <w:ind w:left="-720" w:right="-720"/>
        <w:rPr>
          <w:rFonts w:ascii="Calibri" w:hAnsi="Calibri"/>
        </w:rPr>
      </w:pPr>
      <w:r w:rsidRPr="00C80375">
        <w:rPr>
          <w:rFonts w:ascii="Calibri" w:hAnsi="Calibri"/>
        </w:rPr>
        <w:t>For Immediate Release</w:t>
      </w:r>
      <w:bookmarkStart w:id="0" w:name="_GoBack"/>
      <w:bookmarkEnd w:id="0"/>
    </w:p>
    <w:p w14:paraId="66C4D178" w14:textId="77777777" w:rsidR="0050492B" w:rsidRPr="00C80375" w:rsidRDefault="0050492B" w:rsidP="004564A6">
      <w:pPr>
        <w:ind w:left="-720" w:right="-720"/>
        <w:rPr>
          <w:rFonts w:ascii="Calibri" w:hAnsi="Calibri"/>
        </w:rPr>
      </w:pPr>
    </w:p>
    <w:p w14:paraId="01DE7AAD" w14:textId="0CA290FC" w:rsidR="002E7CC4" w:rsidRDefault="002E7CC4" w:rsidP="002E7CC4">
      <w:pPr>
        <w:ind w:left="-720" w:right="-720"/>
        <w:rPr>
          <w:rFonts w:ascii="Calibri" w:hAnsi="Calibri"/>
          <w:b/>
        </w:rPr>
      </w:pPr>
      <w:r w:rsidRPr="002E7CC4">
        <w:rPr>
          <w:rFonts w:ascii="Calibri" w:hAnsi="Calibri"/>
          <w:b/>
        </w:rPr>
        <w:t>PRINCIPALS OF ATALYST ASSIST AN INSTITUTIONAL CLIENT SELL 767 ENTITLED RESIDENTIAL LOTS IN NORTHERN CALIFORNIA</w:t>
      </w:r>
    </w:p>
    <w:p w14:paraId="44728E54" w14:textId="77777777" w:rsidR="002E7CC4" w:rsidRDefault="002E7CC4" w:rsidP="002E7CC4">
      <w:pPr>
        <w:ind w:left="-720" w:right="-720"/>
        <w:rPr>
          <w:rFonts w:ascii="Calibri" w:hAnsi="Calibri"/>
          <w:b/>
        </w:rPr>
      </w:pPr>
    </w:p>
    <w:p w14:paraId="7F51F093" w14:textId="5B9B2B8C" w:rsidR="002E7CC4" w:rsidRDefault="002E7CC4" w:rsidP="002E7CC4">
      <w:pPr>
        <w:ind w:left="-720" w:right="-720"/>
        <w:rPr>
          <w:rFonts w:ascii="Calibri" w:hAnsi="Calibri"/>
        </w:rPr>
      </w:pPr>
      <w:r w:rsidRPr="002E7CC4">
        <w:rPr>
          <w:rFonts w:ascii="Calibri" w:hAnsi="Calibri"/>
        </w:rPr>
        <w:t xml:space="preserve">The principals of </w:t>
      </w:r>
      <w:proofErr w:type="spellStart"/>
      <w:r w:rsidRPr="002E7CC4">
        <w:rPr>
          <w:rFonts w:ascii="Calibri" w:hAnsi="Calibri"/>
        </w:rPr>
        <w:t>Atalyst</w:t>
      </w:r>
      <w:proofErr w:type="spellEnd"/>
      <w:r w:rsidRPr="002E7CC4">
        <w:rPr>
          <w:rFonts w:ascii="Calibri" w:hAnsi="Calibri"/>
        </w:rPr>
        <w:t xml:space="preserve"> Capital Markets (“ATALYST”) are pleased to announce the completion of an investment sales transaction involving the sale of 767 lots to two prominent home builder / developer groups. The sales consisted of 349 blue top lots sold to a merchant builder and 418 paper lots sold to a developer.</w:t>
      </w:r>
    </w:p>
    <w:p w14:paraId="6AE28AB3" w14:textId="77777777" w:rsidR="002E7CC4" w:rsidRDefault="002E7CC4" w:rsidP="002E7CC4">
      <w:pPr>
        <w:ind w:left="-720" w:right="-720"/>
        <w:rPr>
          <w:rFonts w:ascii="Calibri" w:hAnsi="Calibri"/>
        </w:rPr>
      </w:pPr>
    </w:p>
    <w:p w14:paraId="0FEFE400" w14:textId="5634B4A1" w:rsidR="002E7CC4" w:rsidRDefault="002E7CC4" w:rsidP="002E7CC4">
      <w:pPr>
        <w:ind w:left="-720" w:right="-720"/>
        <w:rPr>
          <w:rFonts w:ascii="Calibri" w:hAnsi="Calibri"/>
        </w:rPr>
      </w:pPr>
      <w:r w:rsidRPr="002E7CC4">
        <w:rPr>
          <w:rFonts w:ascii="Calibri" w:hAnsi="Calibri"/>
        </w:rPr>
        <w:t>ATALYST provided financial advisory and transaction support. Legal advisory provided by</w:t>
      </w:r>
      <w:r>
        <w:rPr>
          <w:rFonts w:ascii="Calibri" w:hAnsi="Calibri"/>
        </w:rPr>
        <w:t xml:space="preserve"> </w:t>
      </w:r>
      <w:r w:rsidRPr="002E7CC4">
        <w:rPr>
          <w:rFonts w:ascii="Calibri" w:hAnsi="Calibri"/>
        </w:rPr>
        <w:t>Cox, Castle &amp; Nicholson.</w:t>
      </w:r>
    </w:p>
    <w:p w14:paraId="4B634CB3" w14:textId="77777777" w:rsidR="002E7CC4" w:rsidRDefault="002E7CC4" w:rsidP="002E7CC4">
      <w:pPr>
        <w:ind w:left="-720" w:right="-720"/>
        <w:rPr>
          <w:rFonts w:ascii="Calibri" w:hAnsi="Calibri"/>
        </w:rPr>
      </w:pPr>
    </w:p>
    <w:p w14:paraId="4F63FF5F" w14:textId="77777777" w:rsidR="002E7CC4" w:rsidRPr="002E7CC4" w:rsidRDefault="002E7CC4" w:rsidP="002E7CC4">
      <w:pPr>
        <w:ind w:left="-720" w:right="-720"/>
        <w:rPr>
          <w:rFonts w:ascii="Calibri" w:hAnsi="Calibri"/>
          <w:b/>
        </w:rPr>
      </w:pPr>
      <w:r w:rsidRPr="002E7CC4">
        <w:rPr>
          <w:rFonts w:ascii="Calibri" w:hAnsi="Calibri"/>
          <w:b/>
        </w:rPr>
        <w:t xml:space="preserve">About ATALYST | Financial Group: </w:t>
      </w:r>
    </w:p>
    <w:p w14:paraId="5CF45FA1" w14:textId="4A48CDF5" w:rsidR="002E7CC4" w:rsidRDefault="002E7CC4" w:rsidP="002E7CC4">
      <w:pPr>
        <w:ind w:left="-720" w:right="-720"/>
        <w:rPr>
          <w:rFonts w:ascii="Calibri" w:hAnsi="Calibri"/>
        </w:rPr>
      </w:pPr>
      <w:r w:rsidRPr="002E7CC4">
        <w:rPr>
          <w:rFonts w:ascii="Calibri" w:hAnsi="Calibri"/>
        </w:rPr>
        <w:t>ATALYST is a trusted investment banking and mortgage banking firm. Our real estate advisory services are centered on homebuilding, la</w:t>
      </w:r>
      <w:r>
        <w:rPr>
          <w:rFonts w:ascii="Calibri" w:hAnsi="Calibri"/>
        </w:rPr>
        <w:t xml:space="preserve">nd development and multi-family </w:t>
      </w:r>
      <w:r w:rsidRPr="002E7CC4">
        <w:rPr>
          <w:rFonts w:ascii="Calibri" w:hAnsi="Calibri"/>
        </w:rPr>
        <w:t>housing. Over the preceding ten years, ATALYST’s principals have managed &amp; closed dozens of transactions collectively worth in excess of $3.5bn. The principals have a long history of successfully leveraging their capital markets and mortgage banking experience and relationships in the following areas:</w:t>
      </w:r>
    </w:p>
    <w:p w14:paraId="1F350937" w14:textId="77777777" w:rsidR="002E7CC4" w:rsidRDefault="002E7CC4" w:rsidP="002E7CC4">
      <w:pPr>
        <w:ind w:left="-720" w:right="-720"/>
        <w:rPr>
          <w:rFonts w:ascii="Calibri" w:hAnsi="Calibri"/>
        </w:rPr>
      </w:pPr>
    </w:p>
    <w:p w14:paraId="5A7C5817" w14:textId="50AF4BCF" w:rsidR="002E7CC4" w:rsidRP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>Investment Banking</w:t>
      </w:r>
    </w:p>
    <w:p w14:paraId="6F4C5739" w14:textId="6EB9FF56" w:rsidR="002E7CC4" w:rsidRP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 xml:space="preserve">• </w:t>
      </w:r>
      <w:proofErr w:type="gramStart"/>
      <w:r w:rsidR="001C3CF0">
        <w:rPr>
          <w:rFonts w:ascii="Calibri" w:hAnsi="Calibri"/>
        </w:rPr>
        <w:t>C</w:t>
      </w:r>
      <w:r w:rsidR="001C3CF0" w:rsidRPr="002E7CC4">
        <w:rPr>
          <w:rFonts w:ascii="Calibri" w:hAnsi="Calibri"/>
        </w:rPr>
        <w:t>orporate</w:t>
      </w:r>
      <w:proofErr w:type="gramEnd"/>
      <w:r w:rsidRPr="002E7CC4">
        <w:rPr>
          <w:rFonts w:ascii="Calibri" w:hAnsi="Calibri"/>
        </w:rPr>
        <w:t xml:space="preserve"> advisory (M&amp;A, debt &amp; equity financing)</w:t>
      </w:r>
    </w:p>
    <w:p w14:paraId="4C3A125C" w14:textId="77777777" w:rsidR="002E7CC4" w:rsidRP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>• Restructuring advisory</w:t>
      </w:r>
    </w:p>
    <w:p w14:paraId="6ADF3414" w14:textId="77777777" w:rsidR="002E7CC4" w:rsidRPr="002E7CC4" w:rsidRDefault="002E7CC4" w:rsidP="002E7CC4">
      <w:pPr>
        <w:ind w:left="-720" w:right="-720"/>
        <w:rPr>
          <w:rFonts w:ascii="Calibri" w:hAnsi="Calibri"/>
        </w:rPr>
      </w:pPr>
    </w:p>
    <w:p w14:paraId="4A7E319B" w14:textId="487BF47B" w:rsidR="002E7CC4" w:rsidRP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>Mortgage Banking</w:t>
      </w:r>
    </w:p>
    <w:p w14:paraId="6641D83B" w14:textId="77777777" w:rsidR="002E7CC4" w:rsidRP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>• Institutional loan origination</w:t>
      </w:r>
    </w:p>
    <w:p w14:paraId="283A0A65" w14:textId="4C2BD9C8" w:rsidR="002E7CC4" w:rsidRDefault="002E7CC4" w:rsidP="002E7CC4">
      <w:pPr>
        <w:ind w:left="-720" w:right="-720" w:firstLine="720"/>
        <w:rPr>
          <w:rFonts w:ascii="Calibri" w:hAnsi="Calibri"/>
        </w:rPr>
      </w:pPr>
      <w:r w:rsidRPr="002E7CC4">
        <w:rPr>
          <w:rFonts w:ascii="Calibri" w:hAnsi="Calibri"/>
        </w:rPr>
        <w:t>• Private money lending</w:t>
      </w:r>
    </w:p>
    <w:p w14:paraId="494EAF4A" w14:textId="77777777" w:rsidR="002E7CC4" w:rsidRDefault="002E7CC4" w:rsidP="002E7CC4">
      <w:pPr>
        <w:ind w:left="-720" w:right="-720" w:firstLine="720"/>
        <w:rPr>
          <w:rFonts w:ascii="Calibri" w:hAnsi="Calibri"/>
        </w:rPr>
      </w:pPr>
    </w:p>
    <w:p w14:paraId="359AD738" w14:textId="2F9968D3" w:rsidR="002E7CC4" w:rsidRDefault="002E7CC4" w:rsidP="002E7CC4">
      <w:pPr>
        <w:ind w:left="-720" w:right="-720"/>
        <w:rPr>
          <w:rFonts w:ascii="Calibri" w:hAnsi="Calibri"/>
        </w:rPr>
      </w:pPr>
      <w:r>
        <w:rPr>
          <w:rFonts w:ascii="Calibri" w:hAnsi="Calibri"/>
        </w:rPr>
        <w:t xml:space="preserve">For additional information, please visit our website at </w:t>
      </w:r>
      <w:hyperlink r:id="rId7" w:history="1">
        <w:r w:rsidRPr="00131EE5">
          <w:rPr>
            <w:rStyle w:val="Hyperlink"/>
            <w:rFonts w:ascii="Calibri" w:hAnsi="Calibri"/>
          </w:rPr>
          <w:t>www.atalyst.com</w:t>
        </w:r>
      </w:hyperlink>
      <w:r w:rsidRPr="002E7CC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673DCD2D" w14:textId="77777777" w:rsidR="002E7CC4" w:rsidRDefault="002E7CC4" w:rsidP="002E7CC4">
      <w:pPr>
        <w:ind w:left="-720" w:right="-720"/>
        <w:rPr>
          <w:rFonts w:ascii="Calibri" w:hAnsi="Calibri"/>
        </w:rPr>
      </w:pPr>
    </w:p>
    <w:p w14:paraId="48F5360D" w14:textId="4FC69B76" w:rsidR="002E7CC4" w:rsidRDefault="002E7CC4" w:rsidP="002E7CC4">
      <w:pPr>
        <w:ind w:left="-720" w:right="-720"/>
        <w:jc w:val="center"/>
        <w:rPr>
          <w:rFonts w:ascii="Calibri" w:hAnsi="Calibri"/>
        </w:rPr>
      </w:pPr>
      <w:r>
        <w:rPr>
          <w:rFonts w:ascii="Calibri" w:hAnsi="Calibri"/>
        </w:rPr>
        <w:t>John Gilchrist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Bret Berry</w:t>
      </w:r>
    </w:p>
    <w:p w14:paraId="7143073C" w14:textId="1146DC6E" w:rsidR="002E7CC4" w:rsidRDefault="002E7CC4" w:rsidP="002E7CC4">
      <w:pPr>
        <w:ind w:left="-720" w:right="-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Managing Director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Managing Director</w:t>
      </w:r>
    </w:p>
    <w:p w14:paraId="59D318E3" w14:textId="66832447" w:rsidR="002E7CC4" w:rsidRDefault="002E7CC4" w:rsidP="002E7CC4">
      <w:pPr>
        <w:ind w:left="-720" w:right="-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San Francisco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Orange County</w:t>
      </w:r>
    </w:p>
    <w:p w14:paraId="344B1923" w14:textId="5A678915" w:rsidR="002E7CC4" w:rsidRDefault="002E7CC4" w:rsidP="002E7CC4">
      <w:pPr>
        <w:ind w:left="-720" w:right="-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(415) 666-2521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(949) 246-6922</w:t>
      </w:r>
    </w:p>
    <w:p w14:paraId="6AA7775B" w14:textId="77777777" w:rsidR="002E7CC4" w:rsidRPr="002E7CC4" w:rsidRDefault="002E7CC4" w:rsidP="002E7CC4">
      <w:pPr>
        <w:ind w:left="-720" w:right="-720" w:firstLine="720"/>
        <w:rPr>
          <w:rFonts w:ascii="Calibri" w:hAnsi="Calibri"/>
        </w:rPr>
      </w:pPr>
    </w:p>
    <w:sectPr w:rsidR="002E7CC4" w:rsidRPr="002E7CC4" w:rsidSect="000C75D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4D193" w14:textId="77777777" w:rsidR="00480668" w:rsidRDefault="00490C4B">
      <w:r>
        <w:separator/>
      </w:r>
    </w:p>
  </w:endnote>
  <w:endnote w:type="continuationSeparator" w:id="0">
    <w:p w14:paraId="66C4D195" w14:textId="77777777" w:rsidR="00480668" w:rsidRDefault="0049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A6D1E" w14:textId="77777777" w:rsidR="002E7CC4" w:rsidRDefault="002E7CC4" w:rsidP="002E7CC4">
    <w:pPr>
      <w:pBdr>
        <w:top w:val="single" w:sz="12" w:space="1" w:color="auto"/>
      </w:pBdr>
      <w:ind w:left="-1080" w:right="-1080"/>
      <w:jc w:val="center"/>
    </w:pPr>
    <w:r>
      <w:t xml:space="preserve">San Francisco          </w:t>
    </w:r>
    <w:proofErr w:type="gramStart"/>
    <w:r>
      <w:t>|          Orange</w:t>
    </w:r>
    <w:proofErr w:type="gramEnd"/>
    <w:r>
      <w:t xml:space="preserve"> County          |          New York          |         Las Vegas</w:t>
    </w:r>
  </w:p>
  <w:p w14:paraId="0FC8D8CA" w14:textId="77777777" w:rsidR="002E7CC4" w:rsidRDefault="002E7CC4" w:rsidP="002E7CC4">
    <w:pPr>
      <w:pBdr>
        <w:top w:val="single" w:sz="12" w:space="1" w:color="auto"/>
      </w:pBdr>
      <w:ind w:left="-1080" w:right="-1080"/>
    </w:pPr>
  </w:p>
  <w:p w14:paraId="66C4D18E" w14:textId="736A1794" w:rsidR="004564A6" w:rsidRPr="00FD14A5" w:rsidRDefault="00C80375" w:rsidP="004564A6">
    <w:pPr>
      <w:ind w:left="-1080" w:right="-1080"/>
      <w:rPr>
        <w:sz w:val="16"/>
      </w:rPr>
    </w:pPr>
    <w:r>
      <w:rPr>
        <w:rFonts w:cs="Calibri"/>
        <w:noProof/>
        <w:sz w:val="16"/>
        <w:szCs w:val="16"/>
      </w:rPr>
      <w:t>Securities offered through </w:t>
    </w:r>
    <w:hyperlink r:id="rId1" w:history="1">
      <w:r>
        <w:rPr>
          <w:rStyle w:val="Hyperlink"/>
          <w:rFonts w:cs="Calibri"/>
          <w:noProof/>
          <w:color w:val="1F00FF"/>
          <w:sz w:val="16"/>
          <w:szCs w:val="16"/>
        </w:rPr>
        <w:t>Growth Capital Services</w:t>
      </w:r>
    </w:hyperlink>
    <w:r>
      <w:rPr>
        <w:rFonts w:cs="Calibri"/>
        <w:noProof/>
        <w:color w:val="1F00FF"/>
        <w:sz w:val="16"/>
        <w:szCs w:val="16"/>
        <w:u w:val="single" w:color="1F00FF"/>
      </w:rPr>
      <w:t>, Inc.</w:t>
    </w:r>
    <w:r>
      <w:rPr>
        <w:rFonts w:cs="Calibri"/>
        <w:noProof/>
        <w:sz w:val="16"/>
        <w:szCs w:val="16"/>
      </w:rPr>
      <w:t xml:space="preserve">, member </w:t>
    </w:r>
    <w:hyperlink r:id="rId2" w:history="1">
      <w:r>
        <w:rPr>
          <w:rStyle w:val="Hyperlink"/>
          <w:rFonts w:cs="Calibri"/>
          <w:noProof/>
          <w:color w:val="1F00FF"/>
          <w:sz w:val="16"/>
          <w:szCs w:val="16"/>
        </w:rPr>
        <w:t>FINRA</w:t>
      </w:r>
    </w:hyperlink>
    <w:r>
      <w:rPr>
        <w:rFonts w:cs="Calibri"/>
        <w:noProof/>
        <w:sz w:val="16"/>
        <w:szCs w:val="16"/>
      </w:rPr>
      <w:t>, </w:t>
    </w:r>
    <w:hyperlink r:id="rId3" w:history="1">
      <w:r>
        <w:rPr>
          <w:rStyle w:val="Hyperlink"/>
          <w:rFonts w:cs="Calibri"/>
          <w:noProof/>
          <w:color w:val="1F00FF"/>
          <w:sz w:val="16"/>
          <w:szCs w:val="16"/>
        </w:rPr>
        <w:t>SIPC</w:t>
      </w:r>
    </w:hyperlink>
    <w:r>
      <w:rPr>
        <w:rFonts w:cs="Calibri"/>
        <w:noProof/>
        <w:sz w:val="16"/>
        <w:szCs w:val="16"/>
      </w:rPr>
      <w:t xml:space="preserve">, Office of Supervisory Jurisdiction located at 582 Market Street, Suite 300, San Francisco, CA 94104.  Mortgage origination </w:t>
    </w:r>
    <w:r>
      <w:rPr>
        <w:sz w:val="16"/>
      </w:rPr>
      <w:t>r</w:t>
    </w:r>
    <w:r w:rsidR="004564A6" w:rsidRPr="00FD14A5">
      <w:rPr>
        <w:sz w:val="16"/>
      </w:rPr>
      <w:t>egulated by the Nevada Division of Mortg</w:t>
    </w:r>
    <w:r>
      <w:rPr>
        <w:sz w:val="16"/>
      </w:rPr>
      <w:t>age Lending (NV License #3559).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D18F" w14:textId="77777777" w:rsidR="00480668" w:rsidRDefault="00490C4B">
      <w:r>
        <w:separator/>
      </w:r>
    </w:p>
  </w:footnote>
  <w:footnote w:type="continuationSeparator" w:id="0">
    <w:p w14:paraId="66C4D191" w14:textId="77777777" w:rsidR="00480668" w:rsidRDefault="00490C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D18B" w14:textId="54476841" w:rsidR="004564A6" w:rsidRDefault="00C80375" w:rsidP="00B90A40">
    <w:pPr>
      <w:pStyle w:val="Header"/>
    </w:pPr>
    <w:r>
      <w:rPr>
        <w:noProof/>
        <w:lang w:eastAsia="en-US"/>
      </w:rPr>
      <w:drawing>
        <wp:inline distT="0" distB="0" distL="0" distR="0" wp14:anchorId="52776166" wp14:editId="3972BD6A">
          <wp:extent cx="502920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alyst_fin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00" b="32143"/>
                  <a:stretch/>
                </pic:blipFill>
                <pic:spPr bwMode="auto">
                  <a:xfrm>
                    <a:off x="0" y="0"/>
                    <a:ext cx="5029200" cy="817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bacae0,#00528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D3"/>
    <w:rsid w:val="000C75D3"/>
    <w:rsid w:val="001C3CF0"/>
    <w:rsid w:val="002A235B"/>
    <w:rsid w:val="002E7CC4"/>
    <w:rsid w:val="003478A1"/>
    <w:rsid w:val="004564A6"/>
    <w:rsid w:val="0047588C"/>
    <w:rsid w:val="00480668"/>
    <w:rsid w:val="00490C4B"/>
    <w:rsid w:val="004C66E1"/>
    <w:rsid w:val="0050492B"/>
    <w:rsid w:val="00602584"/>
    <w:rsid w:val="006800CF"/>
    <w:rsid w:val="00687C85"/>
    <w:rsid w:val="006A37EA"/>
    <w:rsid w:val="007035B5"/>
    <w:rsid w:val="00731A72"/>
    <w:rsid w:val="00741910"/>
    <w:rsid w:val="0075428B"/>
    <w:rsid w:val="007B7BE9"/>
    <w:rsid w:val="008D21F7"/>
    <w:rsid w:val="008D75F6"/>
    <w:rsid w:val="00916E6F"/>
    <w:rsid w:val="00A528EC"/>
    <w:rsid w:val="00AE2879"/>
    <w:rsid w:val="00AF7FCA"/>
    <w:rsid w:val="00B15708"/>
    <w:rsid w:val="00B41259"/>
    <w:rsid w:val="00B90A40"/>
    <w:rsid w:val="00BB3AC1"/>
    <w:rsid w:val="00C80375"/>
    <w:rsid w:val="00C977B2"/>
    <w:rsid w:val="00D15127"/>
    <w:rsid w:val="00D33E84"/>
    <w:rsid w:val="00D9124B"/>
    <w:rsid w:val="00DA6C53"/>
    <w:rsid w:val="00DF41C1"/>
    <w:rsid w:val="00E04453"/>
    <w:rsid w:val="00E20D7E"/>
    <w:rsid w:val="00E3528C"/>
    <w:rsid w:val="00E5630A"/>
    <w:rsid w:val="00E875FE"/>
    <w:rsid w:val="00EE5D1D"/>
    <w:rsid w:val="00F3327E"/>
    <w:rsid w:val="00F86023"/>
    <w:rsid w:val="00FA3742"/>
    <w:rsid w:val="00FD14A5"/>
    <w:rsid w:val="00FD5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acae0,#005288"/>
    </o:shapedefaults>
    <o:shapelayout v:ext="edit">
      <o:idmap v:ext="edit" data="1"/>
    </o:shapelayout>
  </w:shapeDefaults>
  <w:decimalSymbol w:val="."/>
  <w:listSeparator w:val=","/>
  <w14:docId w14:val="66C4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1A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630A"/>
  </w:style>
  <w:style w:type="paragraph" w:styleId="Footer">
    <w:name w:val="footer"/>
    <w:basedOn w:val="Normal"/>
    <w:link w:val="FooterChar"/>
    <w:rsid w:val="00E56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630A"/>
  </w:style>
  <w:style w:type="paragraph" w:styleId="NormalWeb">
    <w:name w:val="Normal (Web)"/>
    <w:basedOn w:val="Normal"/>
    <w:uiPriority w:val="99"/>
    <w:semiHidden/>
    <w:unhideWhenUsed/>
    <w:rsid w:val="00FA3742"/>
    <w:pPr>
      <w:spacing w:after="300" w:line="270" w:lineRule="atLeast"/>
    </w:pPr>
    <w:rPr>
      <w:rFonts w:ascii="Helvetica" w:eastAsia="Times New Roman" w:hAnsi="Helvetica" w:cs="Helvetica"/>
      <w:color w:val="888888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03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35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8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31A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E5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630A"/>
  </w:style>
  <w:style w:type="paragraph" w:styleId="Footer">
    <w:name w:val="footer"/>
    <w:basedOn w:val="Normal"/>
    <w:link w:val="FooterChar"/>
    <w:rsid w:val="00E56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630A"/>
  </w:style>
  <w:style w:type="paragraph" w:styleId="NormalWeb">
    <w:name w:val="Normal (Web)"/>
    <w:basedOn w:val="Normal"/>
    <w:uiPriority w:val="99"/>
    <w:semiHidden/>
    <w:unhideWhenUsed/>
    <w:rsid w:val="00FA3742"/>
    <w:pPr>
      <w:spacing w:after="300" w:line="270" w:lineRule="atLeast"/>
    </w:pPr>
    <w:rPr>
      <w:rFonts w:ascii="Helvetica" w:eastAsia="Times New Roman" w:hAnsi="Helvetica" w:cs="Helvetica"/>
      <w:color w:val="888888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03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35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talyst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wthcapitalservices.com/" TargetMode="External"/><Relationship Id="rId2" Type="http://schemas.openxmlformats.org/officeDocument/2006/relationships/hyperlink" Target="http://www.finra.org/" TargetMode="External"/><Relationship Id="rId3" Type="http://schemas.openxmlformats.org/officeDocument/2006/relationships/hyperlink" Target="http://www.sipc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Gilchrist</dc:creator>
  <cp:keywords/>
  <cp:lastModifiedBy>Chatterkick</cp:lastModifiedBy>
  <cp:revision>4</cp:revision>
  <cp:lastPrinted>2013-01-03T22:55:00Z</cp:lastPrinted>
  <dcterms:created xsi:type="dcterms:W3CDTF">2015-09-03T18:05:00Z</dcterms:created>
  <dcterms:modified xsi:type="dcterms:W3CDTF">2015-09-03T18:10:00Z</dcterms:modified>
</cp:coreProperties>
</file>